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25F04">
      <w:pPr>
        <w:jc w:val="center"/>
        <w:outlineLvl w:val="0"/>
        <w:rPr>
          <w:rFonts w:hint="eastAsia" w:ascii="方正小标宋简体" w:eastAsia="方正小标宋简体" w:cs="Times New Roman"/>
          <w:sz w:val="44"/>
          <w:szCs w:val="44"/>
        </w:rPr>
      </w:pPr>
      <w:r>
        <w:rPr>
          <w:rFonts w:hint="eastAsia" w:ascii="方正小标宋简体" w:eastAsia="方正小标宋简体" w:cs="Times New Roman"/>
          <w:sz w:val="44"/>
          <w:szCs w:val="44"/>
        </w:rPr>
        <w:t>中山大学</w:t>
      </w:r>
      <w:r>
        <w:rPr>
          <w:rFonts w:hint="eastAsia" w:ascii="方正小标宋简体" w:eastAsia="方正小标宋简体" w:cs="Times New Roman"/>
          <w:sz w:val="44"/>
          <w:szCs w:val="44"/>
          <w:lang w:val="en-US" w:eastAsia="zh-CN"/>
        </w:rPr>
        <w:t>附属第三医</w:t>
      </w:r>
      <w:r>
        <w:rPr>
          <w:rFonts w:hint="eastAsia" w:ascii="方正小标宋简体" w:eastAsia="方正小标宋简体" w:cs="Times New Roman"/>
          <w:sz w:val="44"/>
          <w:szCs w:val="44"/>
        </w:rPr>
        <w:t>院研究生学位论文</w:t>
      </w:r>
    </w:p>
    <w:p w14:paraId="339D0C06">
      <w:pPr>
        <w:jc w:val="center"/>
        <w:outlineLvl w:val="0"/>
        <w:rPr>
          <w:rFonts w:ascii="方正小标宋简体" w:eastAsia="方正小标宋简体" w:cs="Times New Roman"/>
          <w:sz w:val="44"/>
          <w:szCs w:val="44"/>
        </w:rPr>
      </w:pPr>
      <w:bookmarkStart w:id="0" w:name="_GoBack"/>
      <w:bookmarkEnd w:id="0"/>
      <w:r>
        <w:rPr>
          <w:rFonts w:hint="eastAsia" w:ascii="方正小标宋简体" w:eastAsia="方正小标宋简体" w:cs="Times New Roman"/>
          <w:sz w:val="44"/>
          <w:szCs w:val="44"/>
        </w:rPr>
        <w:t>重合度检测工作实施细则（模板）</w:t>
      </w:r>
    </w:p>
    <w:p w14:paraId="4C4EBDD4">
      <w:pPr>
        <w:spacing w:line="560" w:lineRule="exact"/>
        <w:ind w:firstLine="640" w:firstLineChars="200"/>
        <w:jc w:val="both"/>
        <w:rPr>
          <w:rFonts w:cs="Times New Roman"/>
          <w:color w:val="000000" w:themeColor="text1"/>
          <w:szCs w:val="32"/>
          <w14:textFill>
            <w14:solidFill>
              <w14:schemeClr w14:val="tx1"/>
            </w14:solidFill>
          </w14:textFill>
        </w:rPr>
      </w:pPr>
      <w:r>
        <w:rPr>
          <w:rFonts w:ascii="黑体" w:hAnsi="黑体" w:eastAsia="黑体" w:cs="Times New Roman"/>
          <w:color w:val="000000" w:themeColor="text1"/>
          <w:szCs w:val="32"/>
          <w14:textFill>
            <w14:solidFill>
              <w14:schemeClr w14:val="tx1"/>
            </w14:solidFill>
          </w14:textFill>
        </w:rPr>
        <w:t>第一条</w:t>
      </w:r>
      <w:r>
        <w:rPr>
          <w:rFonts w:cs="Times New Roman"/>
          <w:color w:val="000000" w:themeColor="text1"/>
          <w:szCs w:val="32"/>
          <w14:textFill>
            <w14:solidFill>
              <w14:schemeClr w14:val="tx1"/>
            </w14:solidFill>
          </w14:textFill>
        </w:rPr>
        <w:t xml:space="preserve">  </w:t>
      </w:r>
      <w:r>
        <w:rPr>
          <w:rFonts w:hint="eastAsia"/>
        </w:rPr>
        <w:t>为加强学术道德和学术规范，保障学位质量，根据</w:t>
      </w:r>
      <w:r>
        <w:rPr>
          <w:rFonts w:cs="Times New Roman"/>
          <w:color w:val="000000" w:themeColor="text1"/>
          <w:szCs w:val="32"/>
          <w14:textFill>
            <w14:solidFill>
              <w14:schemeClr w14:val="tx1"/>
            </w14:solidFill>
          </w14:textFill>
        </w:rPr>
        <w:t>《中华人民共和国学位</w:t>
      </w:r>
      <w:r>
        <w:rPr>
          <w:rFonts w:hint="eastAsia" w:cs="Times New Roman"/>
          <w:color w:val="000000" w:themeColor="text1"/>
          <w:szCs w:val="32"/>
          <w14:textFill>
            <w14:solidFill>
              <w14:schemeClr w14:val="tx1"/>
            </w14:solidFill>
          </w14:textFill>
        </w:rPr>
        <w:t>法</w:t>
      </w:r>
      <w:r>
        <w:rPr>
          <w:rFonts w:cs="Times New Roman"/>
          <w:color w:val="000000" w:themeColor="text1"/>
          <w:szCs w:val="32"/>
          <w14:textFill>
            <w14:solidFill>
              <w14:schemeClr w14:val="tx1"/>
            </w14:solidFill>
          </w14:textFill>
        </w:rPr>
        <w:t>》</w:t>
      </w:r>
      <w:r>
        <w:rPr>
          <w:rFonts w:hint="eastAsia"/>
        </w:rPr>
        <w:t>《国务院学位委员会 教育部关于进一步严格规范学位与研究生教育质量管理的若干意见》（学位〔2020〕19 号）以及《中山大学学位授予工作细则》，结合实际情况，制定本办法</w:t>
      </w:r>
      <w:r>
        <w:rPr>
          <w:rFonts w:hint="eastAsia" w:cs="Times New Roman"/>
          <w:color w:val="000000" w:themeColor="text1"/>
          <w:szCs w:val="32"/>
          <w14:textFill>
            <w14:solidFill>
              <w14:schemeClr w14:val="tx1"/>
            </w14:solidFill>
          </w14:textFill>
        </w:rPr>
        <w:t>。</w:t>
      </w:r>
    </w:p>
    <w:p w14:paraId="03D53966">
      <w:pPr>
        <w:spacing w:line="560" w:lineRule="exact"/>
        <w:ind w:firstLine="640" w:firstLineChars="200"/>
        <w:jc w:val="both"/>
        <w:rPr>
          <w:rFonts w:cs="Times New Roman"/>
          <w:color w:val="000000" w:themeColor="text1"/>
          <w:szCs w:val="32"/>
          <w14:textFill>
            <w14:solidFill>
              <w14:schemeClr w14:val="tx1"/>
            </w14:solidFill>
          </w14:textFill>
        </w:rPr>
      </w:pPr>
      <w:r>
        <w:rPr>
          <w:rFonts w:ascii="黑体" w:hAnsi="黑体" w:eastAsia="黑体" w:cs="Times New Roman"/>
          <w:color w:val="000000" w:themeColor="text1"/>
          <w:szCs w:val="32"/>
          <w14:textFill>
            <w14:solidFill>
              <w14:schemeClr w14:val="tx1"/>
            </w14:solidFill>
          </w14:textFill>
        </w:rPr>
        <w:t>第二条</w:t>
      </w:r>
      <w:r>
        <w:rPr>
          <w:rFonts w:hint="eastAsia" w:cs="Times New Roman"/>
          <w:b/>
          <w:color w:val="000000" w:themeColor="text1"/>
          <w:szCs w:val="32"/>
          <w14:textFill>
            <w14:solidFill>
              <w14:schemeClr w14:val="tx1"/>
            </w14:solidFill>
          </w14:textFill>
        </w:rPr>
        <w:t xml:space="preserve"> </w:t>
      </w:r>
      <w:r>
        <w:rPr>
          <w:rFonts w:cs="Times New Roman"/>
          <w:b/>
          <w:color w:val="000000" w:themeColor="text1"/>
          <w:szCs w:val="32"/>
          <w14:textFill>
            <w14:solidFill>
              <w14:schemeClr w14:val="tx1"/>
            </w14:solidFill>
          </w14:textFill>
        </w:rPr>
        <w:t xml:space="preserve"> </w:t>
      </w:r>
      <w:r>
        <w:rPr>
          <w:rFonts w:hint="eastAsia"/>
        </w:rPr>
        <w:t>学位论文或实践成果的重合度检测等作为防范与检查学术不端行为的辅助手段，</w:t>
      </w:r>
      <w:r>
        <w:rPr>
          <w:rFonts w:cs="Times New Roman"/>
          <w:color w:val="000000" w:themeColor="text1"/>
          <w:szCs w:val="32"/>
          <w14:textFill>
            <w14:solidFill>
              <w14:schemeClr w14:val="tx1"/>
            </w14:solidFill>
          </w14:textFill>
        </w:rPr>
        <w:t>但并不能替代导师、评阅及答辩专家对学位论文</w:t>
      </w:r>
      <w:r>
        <w:rPr>
          <w:rFonts w:hint="eastAsia"/>
        </w:rPr>
        <w:t>或实践成果的</w:t>
      </w:r>
      <w:r>
        <w:rPr>
          <w:rFonts w:cs="Times New Roman"/>
          <w:color w:val="000000" w:themeColor="text1"/>
          <w:szCs w:val="32"/>
          <w14:textFill>
            <w14:solidFill>
              <w14:schemeClr w14:val="tx1"/>
            </w14:solidFill>
          </w14:textFill>
        </w:rPr>
        <w:t>质量把关</w:t>
      </w:r>
      <w:r>
        <w:rPr>
          <w:rFonts w:hint="eastAsia" w:cs="Times New Roman"/>
          <w:color w:val="000000" w:themeColor="text1"/>
          <w:szCs w:val="32"/>
          <w14:textFill>
            <w14:solidFill>
              <w14:schemeClr w14:val="tx1"/>
            </w14:solidFill>
          </w14:textFill>
        </w:rPr>
        <w:t>。</w:t>
      </w:r>
      <w:r>
        <w:rPr>
          <w:rFonts w:cs="Times New Roman"/>
          <w:color w:val="000000" w:themeColor="text1"/>
          <w:szCs w:val="32"/>
          <w14:textFill>
            <w14:solidFill>
              <w14:schemeClr w14:val="tx1"/>
            </w14:solidFill>
          </w14:textFill>
        </w:rPr>
        <w:t xml:space="preserve"> </w:t>
      </w:r>
    </w:p>
    <w:p w14:paraId="2607A731">
      <w:pPr>
        <w:spacing w:line="560" w:lineRule="exact"/>
        <w:ind w:firstLine="640" w:firstLineChars="200"/>
        <w:jc w:val="both"/>
        <w:rPr>
          <w:rFonts w:cs="Times New Roman"/>
          <w:color w:val="000000" w:themeColor="text1"/>
          <w:szCs w:val="32"/>
          <w14:textFill>
            <w14:solidFill>
              <w14:schemeClr w14:val="tx1"/>
            </w14:solidFill>
          </w14:textFill>
        </w:rPr>
      </w:pPr>
      <w:r>
        <w:rPr>
          <w:rFonts w:hint="eastAsia" w:ascii="黑体" w:hAnsi="黑体" w:eastAsia="黑体" w:cs="Times New Roman"/>
          <w:color w:val="000000" w:themeColor="text1"/>
          <w:szCs w:val="32"/>
          <w14:textFill>
            <w14:solidFill>
              <w14:schemeClr w14:val="tx1"/>
            </w14:solidFill>
          </w14:textFill>
        </w:rPr>
        <w:t>第三条</w:t>
      </w:r>
      <w:r>
        <w:rPr>
          <w:rFonts w:hint="eastAsia" w:cs="Times New Roman"/>
          <w:color w:val="000000" w:themeColor="text1"/>
          <w:szCs w:val="32"/>
          <w14:textFill>
            <w14:solidFill>
              <w14:schemeClr w14:val="tx1"/>
            </w14:solidFill>
          </w14:textFill>
        </w:rPr>
        <w:t xml:space="preserve">  </w:t>
      </w:r>
      <w:r>
        <w:rPr>
          <w:rFonts w:hint="eastAsia"/>
        </w:rPr>
        <w:t>凡向学校申请博士、硕士学位所提交的学位论文或实践成果（除涉密学位论文外），均须按本办法进行重合度检测后，方可进入学位论文或实践成果评阅环节</w:t>
      </w:r>
      <w:r>
        <w:rPr>
          <w:rFonts w:hint="eastAsia" w:cs="仿宋_GB2312"/>
          <w:color w:val="000000" w:themeColor="text1"/>
          <w:szCs w:val="32"/>
          <w:lang w:val="zh-CN"/>
          <w14:textFill>
            <w14:solidFill>
              <w14:schemeClr w14:val="tx1"/>
            </w14:solidFill>
          </w14:textFill>
        </w:rPr>
        <w:t>。</w:t>
      </w:r>
    </w:p>
    <w:p w14:paraId="6755DDCE">
      <w:pPr>
        <w:spacing w:line="560" w:lineRule="exact"/>
        <w:ind w:firstLine="640" w:firstLineChars="200"/>
        <w:jc w:val="both"/>
      </w:pPr>
      <w:r>
        <w:rPr>
          <w:rFonts w:hint="eastAsia" w:ascii="黑体" w:hAnsi="黑体" w:eastAsia="黑体" w:cs="Times New Roman"/>
          <w:color w:val="000000" w:themeColor="text1"/>
          <w:szCs w:val="32"/>
          <w14:textFill>
            <w14:solidFill>
              <w14:schemeClr w14:val="tx1"/>
            </w14:solidFill>
          </w14:textFill>
        </w:rPr>
        <w:t xml:space="preserve">第四条  </w:t>
      </w:r>
      <w:r>
        <w:rPr>
          <w:rFonts w:hint="eastAsia"/>
        </w:rPr>
        <w:t>每位学位申请人的学位论文或实践成果可检测两次：第一次检测应在学位论文或实践成果评阅前，学校的“研究生教育管理服务平台系统”进行。第二次检测在学位论文或实践成果答辩通过、定稿送学校图书馆存档前，通过“学位论文学术不端行为检测系统”进行，工作人员应对该系统用户名和登录密码等严格保密，同时严禁检测本单位以外或其他论文</w:t>
      </w:r>
      <w:r>
        <w:rPr>
          <w:rFonts w:hint="eastAsia" w:cs="Times New Roman"/>
          <w:color w:val="000000" w:themeColor="text1"/>
          <w:szCs w:val="32"/>
          <w14:textFill>
            <w14:solidFill>
              <w14:schemeClr w14:val="tx1"/>
            </w14:solidFill>
          </w14:textFill>
        </w:rPr>
        <w:t>。</w:t>
      </w:r>
    </w:p>
    <w:p w14:paraId="7159F678">
      <w:pPr>
        <w:ind w:firstLine="640" w:firstLineChars="200"/>
        <w:jc w:val="both"/>
      </w:pPr>
      <w:r>
        <w:rPr>
          <w:rFonts w:hint="eastAsia" w:ascii="黑体" w:hAnsi="黑体" w:eastAsia="黑体" w:cs="仿宋_GB2312"/>
          <w:color w:val="000000" w:themeColor="text1"/>
          <w:szCs w:val="32"/>
          <w:lang w:val="zh-CN"/>
          <w14:textFill>
            <w14:solidFill>
              <w14:schemeClr w14:val="tx1"/>
            </w14:solidFill>
          </w14:textFill>
        </w:rPr>
        <w:t>第</w:t>
      </w:r>
      <w:r>
        <w:rPr>
          <w:rFonts w:hint="eastAsia" w:ascii="黑体" w:hAnsi="黑体" w:eastAsia="黑体" w:cs="仿宋_GB2312"/>
          <w:color w:val="000000" w:themeColor="text1"/>
          <w:szCs w:val="32"/>
          <w14:textFill>
            <w14:solidFill>
              <w14:schemeClr w14:val="tx1"/>
            </w14:solidFill>
          </w14:textFill>
        </w:rPr>
        <w:t>五</w:t>
      </w:r>
      <w:r>
        <w:rPr>
          <w:rFonts w:hint="eastAsia" w:ascii="黑体" w:hAnsi="黑体" w:eastAsia="黑体" w:cs="仿宋_GB2312"/>
          <w:color w:val="000000" w:themeColor="text1"/>
          <w:szCs w:val="32"/>
          <w:lang w:val="zh-CN"/>
          <w14:textFill>
            <w14:solidFill>
              <w14:schemeClr w14:val="tx1"/>
            </w14:solidFill>
          </w14:textFill>
        </w:rPr>
        <w:t>条</w:t>
      </w:r>
      <w:r>
        <w:rPr>
          <w:rFonts w:hint="eastAsia" w:ascii="黑体" w:hAnsi="黑体" w:eastAsia="黑体" w:cs="仿宋_GB2312"/>
          <w:color w:val="000000" w:themeColor="text1"/>
          <w:szCs w:val="32"/>
          <w14:textFill>
            <w14:solidFill>
              <w14:schemeClr w14:val="tx1"/>
            </w14:solidFill>
          </w14:textFill>
        </w:rPr>
        <w:t xml:space="preserve">  </w:t>
      </w:r>
      <w:r>
        <w:rPr>
          <w:rFonts w:hint="eastAsia"/>
        </w:rPr>
        <w:t>重合度检测结果以“去除引用文献复制比”（以下简称复制比）为基本依据，按</w:t>
      </w:r>
      <w:r>
        <w:rPr>
          <w:rFonts w:hint="eastAsia"/>
          <w:lang w:val="en-US" w:eastAsia="zh-CN"/>
        </w:rPr>
        <w:t>以下</w:t>
      </w:r>
      <w:r>
        <w:rPr>
          <w:rFonts w:hint="eastAsia"/>
        </w:rPr>
        <w:t>标准认定</w:t>
      </w:r>
      <w:r>
        <w:rPr>
          <w:rFonts w:hint="eastAsia"/>
          <w:lang w:val="en-US" w:eastAsia="zh-CN"/>
        </w:rPr>
        <w:t>和</w:t>
      </w:r>
      <w:r>
        <w:rPr>
          <w:rFonts w:hint="eastAsia"/>
        </w:rPr>
        <w:t>处理：</w:t>
      </w:r>
    </w:p>
    <w:p w14:paraId="2351474A">
      <w:pPr>
        <w:jc w:val="both"/>
      </w:pPr>
      <w:r>
        <w:rPr>
          <w:rFonts w:hint="eastAsia"/>
        </w:rPr>
        <w:t>（一）复制比不高于10%的，经导师及培养单位审查后可进行评阅。</w:t>
      </w:r>
    </w:p>
    <w:p w14:paraId="0028B8BB">
      <w:pPr>
        <w:jc w:val="both"/>
      </w:pPr>
      <w:r>
        <w:rPr>
          <w:rFonts w:hint="eastAsia"/>
        </w:rPr>
        <w:t>（二）复制比大于10%且不高于20%的，指导教师应严格把关学位论文质量，提出相应处理意见。如指导教师认为无需修改的，则在指导教师签字同意和培养单位审查后，可进入评阅环节。如指导教师认为需要修改的，学位申请人须对学位论文进行修改，并附上学位论文修改说明，经指导教师签字同意和培养单位审查后进入评阅环节。</w:t>
      </w:r>
    </w:p>
    <w:p w14:paraId="0B2FF47E">
      <w:pPr>
        <w:jc w:val="both"/>
        <w:rPr>
          <w:rFonts w:hint="default" w:eastAsia="仿宋_GB2312"/>
          <w:lang w:val="en-US" w:eastAsia="zh-CN"/>
        </w:rPr>
      </w:pPr>
      <w:r>
        <w:rPr>
          <w:rFonts w:hint="eastAsia"/>
        </w:rPr>
        <w:t>（三）复制比大于20%且不高于30%的，由指导教师和培养单位对其是否涉嫌学术不端行为进行认定。</w:t>
      </w:r>
      <w:r>
        <w:t>如该学位论文存在涉嫌学术不端行为，按学校关于学术不端行为的规定处理；</w:t>
      </w:r>
      <w:r>
        <w:rPr>
          <w:rFonts w:hint="eastAsia"/>
        </w:rPr>
        <w:t>若不属于学术不端行为的，学位申请人须对学位论文或实践成果进行修改，</w:t>
      </w:r>
      <w:r>
        <w:rPr>
          <w:rFonts w:hint="eastAsia"/>
          <w:lang w:val="en-US" w:eastAsia="zh-CN"/>
        </w:rPr>
        <w:t>并附上学位论文修改说明，经指导教师签字</w:t>
      </w:r>
      <w:r>
        <w:rPr>
          <w:rFonts w:hint="eastAsia"/>
        </w:rPr>
        <w:t>同意和培养单位审查后重新进行重合度检测。</w:t>
      </w:r>
      <w:r>
        <w:rPr>
          <w:rFonts w:hint="eastAsia"/>
          <w:lang w:val="en-US" w:eastAsia="zh-CN"/>
        </w:rPr>
        <w:t>再次检测不高于20%的方可进行评阅。</w:t>
      </w:r>
    </w:p>
    <w:p w14:paraId="3250F144">
      <w:pPr>
        <w:jc w:val="both"/>
      </w:pPr>
      <w:r>
        <w:rPr>
          <w:rFonts w:hint="eastAsia"/>
        </w:rPr>
        <w:t>（四）复制比大于30%的，由培养单位组织专家对其是否涉嫌学术不端行为进行认定。</w:t>
      </w:r>
      <w:r>
        <w:t>如该学位论文存在涉嫌学术不端行为，按学校关于学术不端行为的规定处理；</w:t>
      </w:r>
      <w:r>
        <w:rPr>
          <w:rFonts w:hint="eastAsia"/>
        </w:rPr>
        <w:t>若不属于学术不端行为的，学位申请人须对学位论文或实践成果进行不少于</w:t>
      </w:r>
      <w:r>
        <w:rPr>
          <w:rFonts w:hint="eastAsia"/>
          <w:lang w:val="en-US" w:eastAsia="zh-CN"/>
        </w:rPr>
        <w:t>3</w:t>
      </w:r>
      <w:r>
        <w:rPr>
          <w:rFonts w:hint="eastAsia"/>
        </w:rPr>
        <w:t>个月的修改，</w:t>
      </w:r>
      <w:r>
        <w:rPr>
          <w:rFonts w:hint="eastAsia"/>
          <w:lang w:val="en-US" w:eastAsia="zh-CN"/>
        </w:rPr>
        <w:t>并附上学位论文修改说明，经指导教师签字</w:t>
      </w:r>
      <w:r>
        <w:rPr>
          <w:rFonts w:hint="eastAsia"/>
        </w:rPr>
        <w:t>同意和培养单位审查后重新进行重合度检测。</w:t>
      </w:r>
      <w:r>
        <w:rPr>
          <w:rFonts w:hint="eastAsia"/>
          <w:lang w:val="en-US" w:eastAsia="zh-CN"/>
        </w:rPr>
        <w:t>再次检测不高于20%的方可进行评阅</w:t>
      </w:r>
      <w:r>
        <w:rPr>
          <w:rFonts w:hint="eastAsia"/>
        </w:rPr>
        <w:t>。</w:t>
      </w:r>
    </w:p>
    <w:p w14:paraId="336300A6">
      <w:pPr>
        <w:topLinePunct/>
        <w:spacing w:line="560" w:lineRule="exact"/>
        <w:ind w:firstLine="640" w:firstLineChars="200"/>
        <w:jc w:val="both"/>
        <w:rPr>
          <w:rFonts w:hint="eastAsia"/>
        </w:rPr>
      </w:pPr>
      <w:r>
        <w:rPr>
          <w:rFonts w:ascii="黑体" w:hAnsi="黑体" w:eastAsia="黑体" w:cs="Times New Roman"/>
          <w:color w:val="000000" w:themeColor="text1"/>
          <w:szCs w:val="32"/>
          <w14:textFill>
            <w14:solidFill>
              <w14:schemeClr w14:val="tx1"/>
            </w14:solidFill>
          </w14:textFill>
        </w:rPr>
        <w:t>第</w:t>
      </w:r>
      <w:r>
        <w:rPr>
          <w:rFonts w:hint="eastAsia" w:ascii="黑体" w:hAnsi="黑体" w:eastAsia="黑体" w:cs="Times New Roman"/>
          <w:color w:val="000000" w:themeColor="text1"/>
          <w:szCs w:val="32"/>
          <w14:textFill>
            <w14:solidFill>
              <w14:schemeClr w14:val="tx1"/>
            </w14:solidFill>
          </w14:textFill>
        </w:rPr>
        <w:t>六</w:t>
      </w:r>
      <w:r>
        <w:rPr>
          <w:rFonts w:ascii="黑体" w:hAnsi="黑体" w:eastAsia="黑体" w:cs="Times New Roman"/>
          <w:color w:val="000000" w:themeColor="text1"/>
          <w:szCs w:val="32"/>
          <w14:textFill>
            <w14:solidFill>
              <w14:schemeClr w14:val="tx1"/>
            </w14:solidFill>
          </w14:textFill>
        </w:rPr>
        <w:t>条</w:t>
      </w:r>
      <w:r>
        <w:rPr>
          <w:rFonts w:cs="Times New Roman"/>
          <w:color w:val="000000" w:themeColor="text1"/>
          <w:szCs w:val="32"/>
          <w14:textFill>
            <w14:solidFill>
              <w14:schemeClr w14:val="tx1"/>
            </w14:solidFill>
          </w14:textFill>
        </w:rPr>
        <w:t xml:space="preserve">  </w:t>
      </w:r>
      <w:r>
        <w:rPr>
          <w:rFonts w:hint="eastAsia"/>
        </w:rPr>
        <w:t>学位申请人如对学位论文或实践成果重合度检测结果的处理有异议，可在知晓处理结果7日内向所在培养单位提出书面申请，</w:t>
      </w:r>
      <w:r>
        <w:rPr>
          <w:rFonts w:hint="eastAsia" w:cs="Times New Roman"/>
          <w:color w:val="000000" w:themeColor="text1"/>
          <w:szCs w:val="32"/>
          <w14:textFill>
            <w14:solidFill>
              <w14:schemeClr w14:val="tx1"/>
            </w14:solidFill>
          </w14:textFill>
        </w:rPr>
        <w:t>由培养单位组织至少3位相应层次的本学科或专业领域校内外专家对检测结果的处理进行审定并给出是否同意进入评阅环节的意见</w:t>
      </w:r>
      <w:r>
        <w:rPr>
          <w:rFonts w:hint="eastAsia"/>
        </w:rPr>
        <w:t>。对于经审定同意进入评阅环节的，经培养单位研委会审批同意、报学位办公室备案。</w:t>
      </w:r>
    </w:p>
    <w:p w14:paraId="6CEC5494">
      <w:pPr>
        <w:topLinePunct/>
        <w:spacing w:line="560" w:lineRule="exact"/>
        <w:ind w:firstLine="640" w:firstLineChars="200"/>
        <w:jc w:val="both"/>
        <w:rPr>
          <w:rFonts w:hint="eastAsia"/>
          <w:lang w:val="en-US" w:eastAsia="zh-CN"/>
        </w:rPr>
      </w:pPr>
      <w:r>
        <w:rPr>
          <w:rFonts w:hint="eastAsia" w:ascii="黑体" w:hAnsi="黑体" w:eastAsia="黑体" w:cs="Times New Roman"/>
          <w:color w:val="000000" w:themeColor="text1"/>
          <w:szCs w:val="32"/>
          <w:lang w:val="en-US" w:eastAsia="zh-CN"/>
          <w14:textFill>
            <w14:solidFill>
              <w14:schemeClr w14:val="tx1"/>
            </w14:solidFill>
          </w14:textFill>
        </w:rPr>
        <w:t>第七条</w:t>
      </w:r>
      <w:r>
        <w:rPr>
          <w:rFonts w:hint="eastAsia"/>
          <w:lang w:val="en-US" w:eastAsia="zh-CN"/>
        </w:rPr>
        <w:t xml:space="preserve"> 学校和学院将密切关注人工智能技术发展动态，积极跟进国家、行业和地方相关管理办法，根据实际情况适时修订相关条款，以应对技术创新、应用普及与风险防范。</w:t>
      </w:r>
    </w:p>
    <w:p w14:paraId="51F61F5F">
      <w:pPr>
        <w:topLinePunct/>
        <w:spacing w:line="560" w:lineRule="exact"/>
        <w:ind w:firstLine="640" w:firstLineChars="200"/>
        <w:jc w:val="both"/>
        <w:rPr>
          <w:rFonts w:hint="eastAsia" w:ascii="黑体" w:hAnsi="黑体" w:eastAsia="仿宋_GB2312" w:cs="Times New Roman"/>
          <w:color w:val="000000" w:themeColor="text1"/>
          <w:szCs w:val="32"/>
          <w:lang w:val="en-US" w:eastAsia="zh-CN"/>
          <w14:textFill>
            <w14:solidFill>
              <w14:schemeClr w14:val="tx1"/>
            </w14:solidFill>
          </w14:textFill>
        </w:rPr>
      </w:pPr>
      <w:r>
        <w:rPr>
          <w:rFonts w:hint="eastAsia" w:ascii="黑体" w:hAnsi="黑体" w:eastAsia="黑体" w:cs="Times New Roman"/>
          <w:color w:val="000000" w:themeColor="text1"/>
          <w:szCs w:val="32"/>
          <w:lang w:val="en-US" w:eastAsia="zh-CN"/>
          <w14:textFill>
            <w14:solidFill>
              <w14:schemeClr w14:val="tx1"/>
            </w14:solidFill>
          </w14:textFill>
        </w:rPr>
        <w:t xml:space="preserve">第八条 </w:t>
      </w:r>
      <w:r>
        <w:rPr>
          <w:rFonts w:hint="eastAsia"/>
          <w:lang w:val="en-US" w:eastAsia="zh-CN"/>
        </w:rPr>
        <w:t>本细则</w:t>
      </w:r>
      <w:r>
        <w:rPr>
          <w:rFonts w:hint="eastAsia" w:cs="Times New Roman"/>
          <w:color w:val="000000" w:themeColor="text1"/>
          <w:szCs w:val="32"/>
          <w14:textFill>
            <w14:solidFill>
              <w14:schemeClr w14:val="tx1"/>
            </w14:solidFill>
          </w14:textFill>
        </w:rPr>
        <w:t>经</w:t>
      </w:r>
      <w:r>
        <w:rPr>
          <w:rFonts w:hint="eastAsia" w:cs="Times New Roman"/>
          <w:color w:val="000000" w:themeColor="text1"/>
          <w:szCs w:val="32"/>
          <w:lang w:val="en-US" w:eastAsia="zh-CN"/>
          <w14:textFill>
            <w14:solidFill>
              <w14:schemeClr w14:val="tx1"/>
            </w14:solidFill>
          </w14:textFill>
        </w:rPr>
        <w:t>本单位研委会审议、</w:t>
      </w:r>
      <w:r>
        <w:rPr>
          <w:rFonts w:hint="eastAsia" w:cs="Times New Roman"/>
          <w:color w:val="000000" w:themeColor="text1"/>
          <w:szCs w:val="32"/>
          <w14:textFill>
            <w14:solidFill>
              <w14:schemeClr w14:val="tx1"/>
            </w14:solidFill>
          </w14:textFill>
        </w:rPr>
        <w:t>所属学部学位评定委员会审议通过后实施，并报学位办公室备案</w:t>
      </w:r>
      <w:r>
        <w:rPr>
          <w:rFonts w:hint="eastAsia" w:cs="Times New Roman"/>
          <w:color w:val="000000" w:themeColor="text1"/>
          <w:szCs w:val="32"/>
          <w:lang w:eastAsia="zh-CN"/>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创艺简标宋">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5F36D7"/>
    <w:rsid w:val="00335606"/>
    <w:rsid w:val="003E1EAE"/>
    <w:rsid w:val="00660AC9"/>
    <w:rsid w:val="0076046A"/>
    <w:rsid w:val="008545E5"/>
    <w:rsid w:val="00890426"/>
    <w:rsid w:val="00A222C8"/>
    <w:rsid w:val="00B63BFB"/>
    <w:rsid w:val="00D44311"/>
    <w:rsid w:val="04746985"/>
    <w:rsid w:val="0DF97688"/>
    <w:rsid w:val="135F36D7"/>
    <w:rsid w:val="173E5BBB"/>
    <w:rsid w:val="2401450E"/>
    <w:rsid w:val="47B30B22"/>
    <w:rsid w:val="52D5400F"/>
    <w:rsid w:val="5D384E12"/>
    <w:rsid w:val="61200541"/>
    <w:rsid w:val="7D9D6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40" w:lineRule="atLeast"/>
    </w:pPr>
    <w:rPr>
      <w:rFonts w:ascii="Times New Roman" w:hAnsi="Times New Roman" w:eastAsia="仿宋_GB2312" w:cstheme="minorBidi"/>
      <w:kern w:val="2"/>
      <w:sz w:val="32"/>
      <w:szCs w:val="21"/>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Theme="minorHAnsi" w:hAnsiTheme="minorHAnsi" w:eastAsiaTheme="minorEastAsia"/>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中山大学</Company>
  <Pages>3</Pages>
  <Words>1332</Words>
  <Characters>1353</Characters>
  <Lines>9</Lines>
  <Paragraphs>2</Paragraphs>
  <TotalTime>4</TotalTime>
  <ScaleCrop>false</ScaleCrop>
  <LinksUpToDate>false</LinksUpToDate>
  <CharactersWithSpaces>1370</CharactersWithSpaces>
  <Application>WPS Office_12.1.0.21171_F1E327BC-269C-435d-A152-05C5408002CA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2025-04-30T08:27:00Z</dcterms:created>
  <dc:creator>user</dc:creator>
  <cp:lastModifiedBy>研究生科</cp:lastModifiedBy>
  <dcterms:modified xsi:type="dcterms:W3CDTF">2025-05-29T10:32:53Z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4AAF65AFC2464080B769F335F83BBB9D_13</vt:lpwstr>
  </property>
  <property fmtid="{D5CDD505-2E9C-101B-9397-08002B2CF9AE}" pid="4" name="KSOTemplateDocerSaveRecord">
    <vt:lpwstr>eyJoZGlkIjoiZTU4YmUyZWNkMzE0Nzg4MzU0YjZmM2VjNmE2YTAxYzciLCJ1c2VySWQiOiIzNDU5NzY5NTQifQ==</vt:lpwstr>
  </property>
</Properties>
</file>