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3C" w:rsidRPr="0016433C" w:rsidRDefault="0016433C" w:rsidP="0016433C">
      <w:pPr>
        <w:autoSpaceDE w:val="0"/>
        <w:autoSpaceDN w:val="0"/>
        <w:adjustRightInd w:val="0"/>
        <w:ind w:firstLineChars="300" w:firstLine="90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临床医学和口腔医学博士专业学位临床能力考核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（一）考核的组织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１．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博士研究生的临床能力考核和论文答辩一起进行，组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成临床能力考核和论文答辩委员会（以下简称“考核答辩委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员会”），对博士学位申请人进行毕业临床能力考核和学位论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文答辩。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２．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考核答辩委员会的组成。考核答辩委员会由教研室从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本学科和相关学科、专业中选出</w:t>
      </w:r>
      <w:r>
        <w:rPr>
          <w:rFonts w:ascii="楷体" w:eastAsia="楷体" w:hAnsi="楷体" w:cs="E-BZ-PK74834-Identity-H" w:hint="eastAsia"/>
          <w:kern w:val="0"/>
          <w:sz w:val="30"/>
          <w:szCs w:val="30"/>
        </w:rPr>
        <w:t>7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位具有正高级专业技术职务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的专家组成，其中校外专家不少于</w:t>
      </w:r>
      <w:r>
        <w:rPr>
          <w:rFonts w:ascii="楷体" w:eastAsia="楷体" w:hAnsi="楷体" w:cs="E-BZ-PK74834-Identity-H" w:hint="eastAsia"/>
          <w:kern w:val="0"/>
          <w:sz w:val="30"/>
          <w:szCs w:val="30"/>
        </w:rPr>
        <w:t>2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名，主席必须由相应的临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床医学或口腔医学博士研究生导师担任，另配备秘书、记录员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各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１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人。考核答辩委员会成员名单经医院批准后报学校研究生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院审核，校学位评定委员会审批。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３．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组织工作由研究生所在教研室负责。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（二）考核要求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考核博士学位申请人是否具有较严密的逻辑思维和较强的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分析问题、解决问题的能力，是否熟练地掌握本学科的技能，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能否独立处理本学科常见病及某些疑难病症，是否掌握本学科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系统深入的专业知识，达到初年主治医师水平。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（三）考核内容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１．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诊疗技术操作。诊疗技术操作着重考核考生诊疗技术或手术操作的规范性、关键问题的处理以及技术的熟练程度与应变能力。病例的选择标准应符合初年主治医师应掌握的病种和手术类型，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lastRenderedPageBreak/>
        <w:t>可以是疑难病症。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２．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教学查房。考生根据考核答辩委员会的要求，对提供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的病例进行主治医师教学查房。先由下级医生汇报病史并进行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病情分析，通过考察考生对下级医生提问、讨论等教学内容，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委员对考生的体检操作指导能力、临床分析能力、启发教学、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E-BZ-PK7483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归纳总结能力以及为人师表等方面进行评价。时间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３０～４０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分钟。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３．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病例答辩：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（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１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）由考核答辩委员会选择本学科一位未经考生诊治的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E-BZ-PK7483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住院病例（该病例可与教学查房的病例相同），给考生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３０～４０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分钟对该病例进行分析，写出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１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份较为详细的病例分析报告，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包括诊断、鉴别诊断以及治疗方案，病情变化处理原则。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（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２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）考核答辩委员会就该病例和考生提交的病例分析报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告进行广泛的提问，由考生回答（所需的有关检查结果可由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考生提出后由考核答辩委员会提供）。着重考核考生对基础理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论及专业知识掌握的广度和深度，对临床疑难病例的处理能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力、临床思维能力以及对有关学科发展动向的了解程度。时间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４０～５０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分钟。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４．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病历评估。随机抽取考生经治的完整的疑难病症病历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资料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３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份，供考核答辩委员会评估。评估项目包括病历是否规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范、完整；诊断是否正确；处理是否及时得当；是否具备处理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疑难病症的能力等。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lastRenderedPageBreak/>
        <w:t>（四）成绩评定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临床能力考核成绩评定实行百分制，按照《临床医学和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口腔医学博士专业学位临床能力考核评分表》中的各项评分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指标进行评分。由考核答辩委员分别进行无记名评分，其平均</w:t>
      </w:r>
    </w:p>
    <w:p w:rsidR="0016433C" w:rsidRPr="0016433C" w:rsidRDefault="0016433C" w:rsidP="0016433C">
      <w:pPr>
        <w:autoSpaceDE w:val="0"/>
        <w:autoSpaceDN w:val="0"/>
        <w:adjustRightInd w:val="0"/>
        <w:jc w:val="left"/>
        <w:rPr>
          <w:rFonts w:ascii="楷体" w:eastAsia="楷体" w:hAnsi="楷体" w:cs="SSJ-PK74820000004-Identity-H"/>
          <w:kern w:val="0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分数为考生的临床能力考核成绩。临床能力考核成绩以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６０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</w:t>
      </w:r>
    </w:p>
    <w:p w:rsidR="00450A42" w:rsidRPr="0016433C" w:rsidRDefault="0016433C" w:rsidP="0016433C">
      <w:pPr>
        <w:rPr>
          <w:rFonts w:ascii="楷体" w:eastAsia="楷体" w:hAnsi="楷体"/>
          <w:sz w:val="30"/>
          <w:szCs w:val="30"/>
        </w:rPr>
      </w:pP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为及格、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７０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分为合格、</w:t>
      </w:r>
      <w:r w:rsidRPr="0016433C">
        <w:rPr>
          <w:rFonts w:ascii="楷体" w:eastAsia="楷体" w:hAnsi="楷体" w:cs="E-BZ-PK74834-Identity-H" w:hint="eastAsia"/>
          <w:kern w:val="0"/>
          <w:sz w:val="30"/>
          <w:szCs w:val="30"/>
        </w:rPr>
        <w:t>８５</w:t>
      </w:r>
      <w:r w:rsidRPr="0016433C">
        <w:rPr>
          <w:rFonts w:ascii="楷体" w:eastAsia="楷体" w:hAnsi="楷体" w:cs="SSJ-PK74820000004-Identity-H" w:hint="eastAsia"/>
          <w:kern w:val="0"/>
          <w:sz w:val="30"/>
          <w:szCs w:val="30"/>
        </w:rPr>
        <w:t>分为优秀。</w:t>
      </w:r>
    </w:p>
    <w:sectPr w:rsidR="00450A42" w:rsidRPr="0016433C" w:rsidSect="00450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SJ-PK74820000004-Identity-H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E-BZ-PK74834-Identity-H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433C"/>
    <w:rsid w:val="0016433C"/>
    <w:rsid w:val="0045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2018-05-08T01:31:00Z</dcterms:created>
  <dcterms:modified xsi:type="dcterms:W3CDTF">2018-05-08T01:36:00Z</dcterms:modified>
</cp:coreProperties>
</file>